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Green Tech High Charter School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Wednesday, March 5, 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Special Meeting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1"/>
          <w:szCs w:val="21"/>
          <w:rtl w:val="0"/>
        </w:rPr>
        <w:t xml:space="preserve">Present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:  Dona Bulluck, (Board Chair), Tony T. Kelley, Barry D. Walston, (virtual) Thomas Mueller, Vinay Pai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Tanya 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Our Board Chair, Dona Bulluck called the meeting to order at 4:44pm.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1"/>
          <w:szCs w:val="21"/>
          <w:u w:val="single"/>
          <w:rtl w:val="0"/>
        </w:rPr>
        <w:t xml:space="preserve">Motions: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Vinay Pai moved that the Green Tech High Fiscal Policies and Procedures for the 2024-2025 School Year be adopted as written, with the addition of the Board Treasurer to the school’s Fiscal Management Team.  Thomas Mueller seconded the motion. The motion was carried unanimously.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Thomas Mueller moved that Tony T. Kelley be elected to the position of Board Treasurer. Vinay Pai seconded the motion. The motion was carried unanimously.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The meeting was adjourned by our Chair, Dona Bulluck at 4:46 pm.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Respectfully Submitted,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By Tanya Ford, Board Assistant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40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xRgwTEt+TNX7dfQqMBwhkKQWw==">CgMxLjA4AHIhMTliNzRhb3VrU2VfWGZBVGVjWWQxZ2dmU3V4TWpfV21n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2025-03-06T17:40:00Z</dcterms:created>
  <dc:creator>Tanya Otieno-Ford</dc:creator>
</cp:coreProperties>
</file>